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BD" w:rsidRPr="00277DB1" w:rsidRDefault="00976CBD" w:rsidP="00D667A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76CBD" w:rsidRDefault="00976CBD" w:rsidP="00D667A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7A0" w:rsidRPr="00D667A0" w:rsidRDefault="00D667A0" w:rsidP="00D667A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D6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ПОВІДОМЛЕННЯ</w:t>
      </w:r>
    </w:p>
    <w:p w:rsidR="00D667A0" w:rsidRPr="00D667A0" w:rsidRDefault="00D667A0" w:rsidP="00976CB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тариф</w:t>
      </w:r>
      <w:r w:rsidR="00976C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теплову енергію, її виробництво, транспортування та постачання, на послугу з пост</w:t>
      </w:r>
      <w:r w:rsidR="002D3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ачання теплової енергії для всі</w:t>
      </w: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 категорій споживачів  КП «</w:t>
      </w:r>
      <w:proofErr w:type="spellStart"/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Коменергосервіс</w:t>
      </w:r>
      <w:proofErr w:type="spellEnd"/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».</w:t>
      </w:r>
    </w:p>
    <w:bookmarkEnd w:id="0"/>
    <w:p w:rsidR="00D667A0" w:rsidRDefault="00D667A0" w:rsidP="00D667A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09DB" w:rsidRDefault="00D667A0" w:rsidP="00484AF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вимог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 № 130,</w:t>
      </w:r>
      <w:r w:rsidR="00DB0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proofErr w:type="spellStart"/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інформує про наміри </w:t>
      </w:r>
      <w:r w:rsidR="00E35939"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 змінювати діючі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тариф</w:t>
      </w:r>
      <w:r w:rsidR="00E35939"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на теплову енергію, її виробництво, транспортування та постачання для всіх категорій споживачів на новий опалювальний період 2022/2023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5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залишити їх </w:t>
      </w:r>
      <w:r w:rsidRPr="00D667A0">
        <w:rPr>
          <w:rFonts w:ascii="Times New Roman" w:eastAsia="Calibri" w:hAnsi="Times New Roman" w:cs="Times New Roman"/>
          <w:sz w:val="28"/>
          <w:szCs w:val="28"/>
          <w:lang w:val="uk-UA"/>
        </w:rPr>
        <w:t>в розмірі  та за структурою тарифів встановлених рішенням виконавчого комітету  Дніпровської міської ради від  19.11.2021 року № 1155</w:t>
      </w:r>
      <w:r w:rsidR="006604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84AF6" w:rsidRDefault="003C09DB" w:rsidP="00484AF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</w:t>
      </w:r>
      <w:r w:rsidR="00E35939" w:rsidRPr="006604F3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ідповідно </w:t>
      </w:r>
      <w:r w:rsidR="009F4941" w:rsidRPr="006604F3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</w:t>
      </w:r>
      <w:r w:rsidR="00E35939" w:rsidRPr="006604F3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</w:t>
      </w:r>
      <w:r w:rsidR="00DE3973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затвердженого Постановою Кабінету Міністрів України від 01.062011 №869 «Про забезпечення єдиного підходу до формування тарифів на комунальні послуги» (зі змінами) </w:t>
      </w:r>
      <w:r w:rsidR="002F4072" w:rsidRPr="002F4072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  <w:shd w:val="clear" w:color="auto" w:fill="FFFFFF"/>
          <w:lang w:val="uk-UA"/>
        </w:rPr>
        <w:t xml:space="preserve">підприємство має намір </w:t>
      </w:r>
      <w:r w:rsidR="00DE3973" w:rsidRPr="002F4072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  <w:shd w:val="clear" w:color="auto" w:fill="FFFFFF"/>
          <w:lang w:val="uk-UA"/>
        </w:rPr>
        <w:t>подовжити термін дії тарифів</w:t>
      </w:r>
      <w:r w:rsidR="003D223A" w:rsidRPr="002F4072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  <w:shd w:val="clear" w:color="auto" w:fill="FFFFFF"/>
          <w:lang w:val="uk-UA"/>
        </w:rPr>
        <w:t xml:space="preserve"> з </w:t>
      </w:r>
      <w:r w:rsidR="003D223A" w:rsidRPr="002F407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</w:t>
      </w:r>
      <w:r w:rsidR="00484AF6" w:rsidRPr="002F407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.10.2022р. до 30.09.2023р.</w:t>
      </w:r>
      <w:r w:rsidR="00484AF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9A3C0D" w:rsidRDefault="009A3C0D" w:rsidP="00484AF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4AF6" w:rsidRPr="00484AF6" w:rsidRDefault="00484AF6" w:rsidP="00484AF6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РИФИ</w:t>
      </w:r>
    </w:p>
    <w:p w:rsidR="00484AF6" w:rsidRPr="00484AF6" w:rsidRDefault="00484AF6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на теплову енергію, її виробництво, транспортування, постачання та послуги </w:t>
      </w:r>
    </w:p>
    <w:p w:rsidR="00484AF6" w:rsidRDefault="00484AF6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 постачання теплової енергії, встановлені </w:t>
      </w: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br/>
        <w:t>Комунальному підприємству «</w:t>
      </w:r>
      <w:proofErr w:type="spellStart"/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Коменергосервіс</w:t>
      </w:r>
      <w:proofErr w:type="spellEnd"/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 </w:t>
      </w:r>
    </w:p>
    <w:p w:rsidR="009A3C0D" w:rsidRPr="00484AF6" w:rsidRDefault="009A3C0D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10"/>
        <w:gridCol w:w="1824"/>
        <w:gridCol w:w="1541"/>
        <w:gridCol w:w="1411"/>
        <w:gridCol w:w="1485"/>
      </w:tblGrid>
      <w:tr w:rsidR="00484AF6" w:rsidRPr="00954EC3" w:rsidTr="00484AF6"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Вид ліцензійної діяльності</w:t>
            </w:r>
          </w:p>
        </w:tc>
        <w:tc>
          <w:tcPr>
            <w:tcW w:w="3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954EC3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54EC3">
              <w:rPr>
                <w:sz w:val="28"/>
                <w:szCs w:val="28"/>
                <w:lang w:val="uk-UA"/>
              </w:rPr>
              <w:t xml:space="preserve"> (без ПДВ)</w:t>
            </w:r>
          </w:p>
        </w:tc>
      </w:tr>
      <w:tr w:rsidR="00484AF6" w:rsidRPr="00954EC3" w:rsidTr="00484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інші споживачі</w:t>
            </w:r>
          </w:p>
        </w:tc>
      </w:tr>
      <w:tr w:rsidR="00484AF6" w:rsidRPr="00954EC3" w:rsidTr="00484AF6">
        <w:trPr>
          <w:trHeight w:val="332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ind w:right="-136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Тариф на теплову енергію, у т. ч.: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578,73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525,81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779,02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180,99</w:t>
            </w:r>
          </w:p>
        </w:tc>
      </w:tr>
      <w:tr w:rsidR="00484AF6" w:rsidRPr="00954EC3" w:rsidTr="00484AF6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 xml:space="preserve">виробництво теплової енергії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023,23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966,83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186,50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518,27</w:t>
            </w:r>
          </w:p>
        </w:tc>
      </w:tr>
      <w:tr w:rsidR="00484AF6" w:rsidRPr="00954EC3" w:rsidTr="00484AF6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rPr>
                <w:spacing w:val="4"/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>транспортування теплової енергії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532,14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535,62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569,16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639,36</w:t>
            </w:r>
          </w:p>
        </w:tc>
      </w:tr>
      <w:tr w:rsidR="00484AF6" w:rsidRPr="00954EC3" w:rsidTr="00484AF6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rPr>
                <w:spacing w:val="4"/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>постачання теплової енергії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</w:tr>
      <w:tr w:rsidR="00484AF6" w:rsidRPr="00954EC3" w:rsidTr="00484AF6"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Вид комунальн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54EC3">
              <w:rPr>
                <w:sz w:val="28"/>
                <w:szCs w:val="28"/>
                <w:lang w:val="uk-UA"/>
              </w:rPr>
              <w:t xml:space="preserve"> послуг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3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Тариф (з ПДВ)</w:t>
            </w:r>
          </w:p>
        </w:tc>
      </w:tr>
      <w:tr w:rsidR="00484AF6" w:rsidRPr="00954EC3" w:rsidTr="00484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інші споживачі</w:t>
            </w:r>
          </w:p>
        </w:tc>
      </w:tr>
      <w:tr w:rsidR="00484AF6" w:rsidRPr="00954EC3" w:rsidTr="00484AF6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п</w:t>
            </w:r>
            <w:r w:rsidRPr="00954EC3">
              <w:rPr>
                <w:sz w:val="28"/>
                <w:szCs w:val="28"/>
                <w:lang w:val="uk-UA"/>
              </w:rPr>
              <w:t>остачання теплової енергії, грн за 1 </w:t>
            </w:r>
            <w:proofErr w:type="spellStart"/>
            <w:r w:rsidRPr="00954EC3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894,48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830,97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134,82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617,19</w:t>
            </w:r>
          </w:p>
        </w:tc>
      </w:tr>
    </w:tbl>
    <w:p w:rsidR="00D36D11" w:rsidRDefault="00D36D11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AF6" w:rsidRPr="00484AF6" w:rsidRDefault="00484AF6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СТРУКТУРА </w:t>
      </w:r>
    </w:p>
    <w:p w:rsidR="00484AF6" w:rsidRPr="00484AF6" w:rsidRDefault="00484AF6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тарифів на теплову енергію, її виробництво, транспортування, постачання та послуги з постачання теплової енергії, встановлених </w:t>
      </w: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84AF6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t>Комунальному підприємству</w:t>
      </w: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</w:t>
      </w:r>
      <w:proofErr w:type="spellStart"/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484AF6" w:rsidRPr="00484AF6" w:rsidRDefault="00484AF6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716"/>
        <w:gridCol w:w="1340"/>
        <w:gridCol w:w="48"/>
        <w:gridCol w:w="1514"/>
        <w:gridCol w:w="36"/>
        <w:gridCol w:w="1430"/>
        <w:gridCol w:w="23"/>
        <w:gridCol w:w="1734"/>
      </w:tblGrid>
      <w:tr w:rsidR="00484AF6" w:rsidRPr="00484AF6" w:rsidTr="00484AF6">
        <w:trPr>
          <w:trHeight w:val="960"/>
        </w:trPr>
        <w:tc>
          <w:tcPr>
            <w:tcW w:w="381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населення,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 без ПДВ</w:t>
            </w:r>
          </w:p>
        </w:tc>
        <w:tc>
          <w:tcPr>
            <w:tcW w:w="791" w:type="pct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релігійних організацій,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грн,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  <w:tc>
          <w:tcPr>
            <w:tcW w:w="766" w:type="pct"/>
            <w:gridSpan w:val="2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бюджетних установ,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  <w:tc>
          <w:tcPr>
            <w:tcW w:w="918" w:type="pct"/>
            <w:gridSpan w:val="2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інших споживачів,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</w:tr>
      <w:tr w:rsidR="00484AF6" w:rsidRPr="00484AF6" w:rsidTr="00984A8A">
        <w:trPr>
          <w:trHeight w:val="11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25" w:type="pct"/>
            <w:gridSpan w:val="2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91" w:type="pct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6" w:type="pct"/>
            <w:gridSpan w:val="2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18" w:type="pct"/>
            <w:gridSpan w:val="2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84AF6" w:rsidRPr="00484AF6" w:rsidTr="00484AF6">
        <w:trPr>
          <w:trHeight w:val="33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Виробнича собівартість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775,89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432,73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511,81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Прямі матеріальні витрати, зокрема: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942,67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49,44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930,4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569,1</w:t>
            </w:r>
          </w:p>
        </w:tc>
      </w:tr>
      <w:tr w:rsidR="00484AF6" w:rsidRPr="00484AF6" w:rsidTr="00484AF6">
        <w:trPr>
          <w:trHeight w:val="96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1.1.1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 для виробництва теплової енергії котельнями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456,96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012,68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154,8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1.1.2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790,38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389,04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247,33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1.1.3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покупну теплову енергію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258,95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44,63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771,25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685,57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</w:tr>
      <w:tr w:rsidR="00484AF6" w:rsidRPr="00484AF6" w:rsidTr="00484AF6">
        <w:trPr>
          <w:trHeight w:val="96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1.1.5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741,86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471,51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942,81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779,54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766,85</w:t>
            </w:r>
          </w:p>
        </w:tc>
      </w:tr>
      <w:tr w:rsidR="00484AF6" w:rsidRPr="00484AF6" w:rsidTr="00484AF6">
        <w:trPr>
          <w:trHeight w:val="33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ind w:right="99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прямі витрати, у т.ч.: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389,68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513,49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042,8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1.3.1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387,41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611,49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388,71</w:t>
            </w:r>
          </w:p>
        </w:tc>
      </w:tr>
      <w:tr w:rsidR="00484AF6" w:rsidRPr="00484AF6" w:rsidTr="00484AF6">
        <w:trPr>
          <w:trHeight w:val="645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1.3.2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амортизаційні відрахування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994,49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556,25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353,47</w:t>
            </w:r>
          </w:p>
        </w:tc>
      </w:tr>
      <w:tr w:rsidR="00484AF6" w:rsidRPr="00484AF6" w:rsidTr="00484AF6">
        <w:trPr>
          <w:trHeight w:val="33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1.3.3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прямі витрати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919,39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380,72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877,29</w:t>
            </w:r>
          </w:p>
        </w:tc>
      </w:tr>
      <w:tr w:rsidR="00484AF6" w:rsidRPr="00484AF6" w:rsidTr="00484AF6">
        <w:trPr>
          <w:trHeight w:val="33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1.3.4</w:t>
            </w:r>
          </w:p>
        </w:tc>
        <w:tc>
          <w:tcPr>
            <w:tcW w:w="1419" w:type="pct"/>
            <w:vAlign w:val="center"/>
            <w:hideMark/>
          </w:tcPr>
          <w:p w:rsidR="00D36D11" w:rsidRPr="00484AF6" w:rsidRDefault="00484AF6" w:rsidP="009A3C0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покриття втрат теплової енергії в теплових мережах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088,39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965,03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423,33</w:t>
            </w:r>
          </w:p>
        </w:tc>
      </w:tr>
      <w:tr w:rsidR="00484AF6" w:rsidRPr="00484AF6" w:rsidTr="00984A8A">
        <w:trPr>
          <w:trHeight w:val="131"/>
        </w:trPr>
        <w:tc>
          <w:tcPr>
            <w:tcW w:w="381" w:type="pct"/>
            <w:noWrap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9" w:type="pct"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91" w:type="pct"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984A8A" w:rsidRDefault="00484AF6" w:rsidP="00984A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8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484AF6" w:rsidRPr="00484AF6" w:rsidTr="00484AF6">
        <w:trPr>
          <w:trHeight w:val="330"/>
        </w:trPr>
        <w:tc>
          <w:tcPr>
            <w:tcW w:w="381" w:type="pct"/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1.4</w:t>
            </w:r>
          </w:p>
        </w:tc>
        <w:tc>
          <w:tcPr>
            <w:tcW w:w="1419" w:type="pct"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725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442,17</w:t>
            </w:r>
          </w:p>
        </w:tc>
        <w:tc>
          <w:tcPr>
            <w:tcW w:w="791" w:type="pct"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66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201,15</w:t>
            </w:r>
          </w:p>
        </w:tc>
        <w:tc>
          <w:tcPr>
            <w:tcW w:w="918" w:type="pct"/>
            <w:gridSpan w:val="2"/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127,88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342,21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024,1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651,15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Повна собівартість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87,64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456,83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162,96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відшкодування втрат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Розрахунковий прибуток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204,7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978,27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766,53</w:t>
            </w:r>
          </w:p>
        </w:tc>
      </w:tr>
      <w:tr w:rsidR="00484AF6" w:rsidRPr="00484AF6" w:rsidTr="00484A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Вартість теплової енергії за відповідними тарифами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435,1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929,49</w:t>
            </w:r>
          </w:p>
        </w:tc>
      </w:tr>
      <w:tr w:rsidR="00484AF6" w:rsidRPr="00484AF6" w:rsidTr="00F849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6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реалізації теплової енергії власним споживачам, </w:t>
            </w:r>
            <w:proofErr w:type="spellStart"/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397,94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580,43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992,88</w:t>
            </w:r>
          </w:p>
        </w:tc>
      </w:tr>
      <w:tr w:rsidR="00484AF6" w:rsidRPr="00484AF6" w:rsidTr="00F849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AF6" w:rsidRPr="00484AF6" w:rsidRDefault="00484AF6" w:rsidP="00484A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 рентабельності, %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4,00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F6" w:rsidRDefault="00484AF6" w:rsidP="00F849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84AF6" w:rsidRPr="00484AF6" w:rsidRDefault="00484AF6" w:rsidP="00F849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4,00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4,00</w:t>
            </w:r>
          </w:p>
        </w:tc>
      </w:tr>
    </w:tbl>
    <w:p w:rsidR="00484AF6" w:rsidRPr="00954EC3" w:rsidRDefault="00484AF6" w:rsidP="00484AF6">
      <w:pPr>
        <w:ind w:left="7080"/>
        <w:jc w:val="center"/>
        <w:rPr>
          <w:sz w:val="28"/>
          <w:szCs w:val="28"/>
          <w:lang w:val="uk-UA"/>
        </w:rPr>
      </w:pPr>
    </w:p>
    <w:p w:rsidR="003C09DB" w:rsidRPr="003C09DB" w:rsidRDefault="00705BD2" w:rsidP="003C09DB">
      <w:pPr>
        <w:tabs>
          <w:tab w:val="left" w:pos="1050"/>
        </w:tabs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Відповідно до постанови Кабінету Міністрів України від 29.04.2022 №502 протягом дії воєнного стану в Україні, але не раніше завершення поточного опалювального періоду застосовувати для населення тарифи на рівні тих, що застосовувались станом на 24 лютого 2022 року.</w:t>
      </w:r>
      <w:r w:rsidR="003C09D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C09DB" w:rsidRPr="003C09DB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t>В опалювальному періоді 2022/2023 рр. застосовувати до кінцевих споживачів комунальних послуг (населення) тарифи на послуги з постачання теплової енергії відповідно до постанови Національної комісії, що здійснює державне регулювання у сферах енергетики та комунальних послуг від 17.03.2020 № 626 «Про внесення змін до постанови Національної комісії, що здійснює державне регулювання у сферах енергетики та комунальних послуг, від 14 січня 2020 року № 80».</w:t>
      </w:r>
    </w:p>
    <w:p w:rsidR="00DB06DF" w:rsidRDefault="00A40074" w:rsidP="00CF2679">
      <w:pPr>
        <w:ind w:firstLine="708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Зауваження, пропозиції від фізичних та юридичних осіб, їх об’єднань приймаються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місцезнаходженням  підприємства: 49081, м.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>Дніпро, вул.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>Артільна, 6</w:t>
      </w:r>
      <w:r w:rsidR="00D82C74" w:rsidRPr="008A381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електронну пошту підприємства </w:t>
      </w:r>
      <w:hyperlink r:id="rId6" w:history="1"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komenergo</w:t>
        </w:r>
        <w:r w:rsidRPr="00A40074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uk-UA"/>
          </w:rPr>
          <w:t>@</w:t>
        </w:r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i</w:t>
        </w:r>
        <w:r w:rsidRPr="00A40074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uk-UA"/>
          </w:rPr>
          <w:t>.</w:t>
        </w:r>
        <w:proofErr w:type="spellStart"/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ua</w:t>
        </w:r>
        <w:proofErr w:type="spellEnd"/>
      </w:hyperlink>
      <w:r w:rsidRPr="00A400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>протягом 14 календарних днів з дня повідомлення.</w:t>
      </w:r>
    </w:p>
    <w:p w:rsidR="00DB06DF" w:rsidRDefault="00DB06DF" w:rsidP="00CF2679">
      <w:pPr>
        <w:ind w:firstLine="708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  <w:lang w:val="uk-UA"/>
        </w:rPr>
      </w:pPr>
    </w:p>
    <w:p w:rsidR="00DB06DF" w:rsidRDefault="00DB06DF" w:rsidP="00CF2679">
      <w:pPr>
        <w:ind w:firstLine="708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  <w:lang w:val="uk-UA"/>
        </w:rPr>
      </w:pPr>
    </w:p>
    <w:p w:rsidR="00DB06DF" w:rsidRPr="002D3F7C" w:rsidRDefault="00DB06DF" w:rsidP="00277DB1">
      <w:pPr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</w:pPr>
    </w:p>
    <w:sectPr w:rsidR="00DB06DF" w:rsidRPr="002D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70C5"/>
    <w:multiLevelType w:val="hybridMultilevel"/>
    <w:tmpl w:val="89F63E38"/>
    <w:lvl w:ilvl="0" w:tplc="26D2B93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E9"/>
    <w:rsid w:val="001328E0"/>
    <w:rsid w:val="0026516C"/>
    <w:rsid w:val="00277DB1"/>
    <w:rsid w:val="002D3F7C"/>
    <w:rsid w:val="002F21EE"/>
    <w:rsid w:val="002F4072"/>
    <w:rsid w:val="00344DDF"/>
    <w:rsid w:val="003C09DB"/>
    <w:rsid w:val="003D223A"/>
    <w:rsid w:val="00484AF6"/>
    <w:rsid w:val="006127E4"/>
    <w:rsid w:val="006604F3"/>
    <w:rsid w:val="00705BD2"/>
    <w:rsid w:val="008A3816"/>
    <w:rsid w:val="00916CE9"/>
    <w:rsid w:val="00976CBD"/>
    <w:rsid w:val="00984A8A"/>
    <w:rsid w:val="009A3C0D"/>
    <w:rsid w:val="009F4941"/>
    <w:rsid w:val="00A04336"/>
    <w:rsid w:val="00A40074"/>
    <w:rsid w:val="00B32DC0"/>
    <w:rsid w:val="00CF2679"/>
    <w:rsid w:val="00D36D11"/>
    <w:rsid w:val="00D667A0"/>
    <w:rsid w:val="00D82C74"/>
    <w:rsid w:val="00DB06DF"/>
    <w:rsid w:val="00DE3973"/>
    <w:rsid w:val="00E35939"/>
    <w:rsid w:val="00EF28E3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F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48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00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F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48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0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energo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Базилёва</dc:creator>
  <cp:keywords/>
  <dc:description/>
  <cp:lastModifiedBy>Игорь А. Рябый</cp:lastModifiedBy>
  <cp:revision>12</cp:revision>
  <cp:lastPrinted>2022-07-13T07:51:00Z</cp:lastPrinted>
  <dcterms:created xsi:type="dcterms:W3CDTF">2022-07-12T12:18:00Z</dcterms:created>
  <dcterms:modified xsi:type="dcterms:W3CDTF">2022-07-13T11:00:00Z</dcterms:modified>
</cp:coreProperties>
</file>